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0" w:rsidRPr="008C63DE" w:rsidRDefault="00E266F0" w:rsidP="00E266F0"/>
    <w:p w:rsidR="008C63DE" w:rsidRPr="008C63DE" w:rsidRDefault="008C63DE" w:rsidP="008C63DE">
      <w:pPr>
        <w:pStyle w:val="Default"/>
        <w:rPr>
          <w:rFonts w:asciiTheme="minorHAnsi" w:hAnsiTheme="minorHAnsi"/>
          <w:sz w:val="22"/>
          <w:szCs w:val="22"/>
        </w:rPr>
      </w:pPr>
    </w:p>
    <w:p w:rsidR="00E266F0" w:rsidRPr="008C63DE" w:rsidRDefault="008C63DE" w:rsidP="008C63DE">
      <w:r w:rsidRPr="008C63DE">
        <w:t>Cross-Utility Conservation Metrics for Benchmarking</w:t>
      </w:r>
    </w:p>
    <w:tbl>
      <w:tblPr>
        <w:tblStyle w:val="TableGrid"/>
        <w:tblW w:w="0" w:type="auto"/>
        <w:tblLook w:val="04A0"/>
      </w:tblPr>
      <w:tblGrid>
        <w:gridCol w:w="2394"/>
        <w:gridCol w:w="6911"/>
      </w:tblGrid>
      <w:tr w:rsidR="00BD35D1" w:rsidRPr="008C63DE" w:rsidTr="008C63DE">
        <w:tc>
          <w:tcPr>
            <w:tcW w:w="2394" w:type="dxa"/>
          </w:tcPr>
          <w:p w:rsidR="00BD35D1" w:rsidRPr="008C63DE" w:rsidRDefault="00BD35D1" w:rsidP="007B17D0">
            <w:pPr>
              <w:jc w:val="center"/>
              <w:rPr>
                <w:b/>
              </w:rPr>
            </w:pPr>
            <w:r w:rsidRPr="008C63DE">
              <w:rPr>
                <w:b/>
              </w:rPr>
              <w:t>Description of Metric</w:t>
            </w:r>
          </w:p>
        </w:tc>
        <w:tc>
          <w:tcPr>
            <w:tcW w:w="6911" w:type="dxa"/>
          </w:tcPr>
          <w:p w:rsidR="00BD35D1" w:rsidRPr="008C63DE" w:rsidRDefault="00BD35D1" w:rsidP="007B17D0">
            <w:pPr>
              <w:jc w:val="center"/>
              <w:rPr>
                <w:b/>
              </w:rPr>
            </w:pPr>
            <w:r w:rsidRPr="008C63DE">
              <w:rPr>
                <w:b/>
              </w:rPr>
              <w:t>Calculation</w:t>
            </w:r>
          </w:p>
        </w:tc>
      </w:tr>
      <w:tr w:rsidR="00BD35D1" w:rsidRPr="008C63DE" w:rsidTr="008C63DE">
        <w:tc>
          <w:tcPr>
            <w:tcW w:w="2394" w:type="dxa"/>
          </w:tcPr>
          <w:p w:rsidR="00973663" w:rsidRPr="008C63DE" w:rsidRDefault="00973663"/>
          <w:p w:rsidR="00BD35D1" w:rsidRPr="008C63DE" w:rsidRDefault="00BD35D1">
            <w:r w:rsidRPr="008C63DE">
              <w:t>Infrastructure Leakage Index</w:t>
            </w:r>
          </w:p>
          <w:p w:rsidR="00973663" w:rsidRPr="008C63DE" w:rsidRDefault="00973663"/>
        </w:tc>
        <w:tc>
          <w:tcPr>
            <w:tcW w:w="6911" w:type="dxa"/>
          </w:tcPr>
          <w:p w:rsidR="00973663" w:rsidRPr="008C63DE" w:rsidRDefault="00973663"/>
          <w:p w:rsidR="00BD35D1" w:rsidRPr="008C63DE" w:rsidRDefault="00C97ED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Current Annual Real Losses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Unavoidable Annual Real Losses</m:t>
                    </m:r>
                  </m:den>
                </m:f>
              </m:oMath>
            </m:oMathPara>
          </w:p>
        </w:tc>
      </w:tr>
      <w:tr w:rsidR="00BD35D1" w:rsidRPr="008C63DE" w:rsidTr="008C63DE">
        <w:tc>
          <w:tcPr>
            <w:tcW w:w="2394" w:type="dxa"/>
          </w:tcPr>
          <w:p w:rsidR="00973663" w:rsidRPr="008C63DE" w:rsidRDefault="00973663" w:rsidP="00F94DFE"/>
          <w:p w:rsidR="00BD35D1" w:rsidRPr="008C63DE" w:rsidRDefault="00BD35D1" w:rsidP="00F94DFE">
            <w:r w:rsidRPr="008C63DE">
              <w:t>Indoor  Conservation Index</w:t>
            </w:r>
          </w:p>
        </w:tc>
        <w:tc>
          <w:tcPr>
            <w:tcW w:w="6911" w:type="dxa"/>
          </w:tcPr>
          <w:p w:rsidR="00973663" w:rsidRPr="008C63DE" w:rsidRDefault="00973663" w:rsidP="00973663"/>
          <w:p w:rsidR="00973663" w:rsidRPr="008C63DE" w:rsidRDefault="00C97ED8" w:rsidP="009736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Estimated Residential Indoor Use (per account per day)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Efficiency Goal for Residential Indoor Use (per account per day)</m:t>
                    </m:r>
                  </m:den>
                </m:f>
              </m:oMath>
            </m:oMathPara>
          </w:p>
          <w:p w:rsidR="00BD35D1" w:rsidRPr="008C63DE" w:rsidRDefault="00BD35D1" w:rsidP="00F94DFE"/>
        </w:tc>
      </w:tr>
      <w:tr w:rsidR="00BD35D1" w:rsidRPr="008C63DE" w:rsidTr="008C63DE">
        <w:tc>
          <w:tcPr>
            <w:tcW w:w="2394" w:type="dxa"/>
          </w:tcPr>
          <w:p w:rsidR="00127AD5" w:rsidRPr="008C63DE" w:rsidRDefault="00127AD5" w:rsidP="00F94DFE"/>
          <w:p w:rsidR="00F94DFE" w:rsidRPr="008C63DE" w:rsidRDefault="00BD35D1" w:rsidP="00F94DFE">
            <w:r w:rsidRPr="008C63DE">
              <w:t>Outdoor</w:t>
            </w:r>
          </w:p>
          <w:p w:rsidR="00BD35D1" w:rsidRPr="008C63DE" w:rsidRDefault="00BD35D1" w:rsidP="00F94DFE">
            <w:r w:rsidRPr="008C63DE">
              <w:t>Conservation Index</w:t>
            </w:r>
          </w:p>
          <w:p w:rsidR="00127AD5" w:rsidRPr="008C63DE" w:rsidRDefault="00127AD5" w:rsidP="00F94DFE"/>
        </w:tc>
        <w:tc>
          <w:tcPr>
            <w:tcW w:w="6911" w:type="dxa"/>
          </w:tcPr>
          <w:p w:rsidR="00BD35D1" w:rsidRPr="008C63DE" w:rsidRDefault="00BD35D1" w:rsidP="009A6CA3"/>
          <w:p w:rsidR="00127AD5" w:rsidRPr="008C63DE" w:rsidRDefault="00C97ED8" w:rsidP="00127A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Weather-Normalized Residential Outdoor Use (per account per day)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Efficiency Goal for Outdoor Use (per account per day)</m:t>
                    </m:r>
                  </m:den>
                </m:f>
              </m:oMath>
            </m:oMathPara>
          </w:p>
          <w:p w:rsidR="00127AD5" w:rsidRPr="008C63DE" w:rsidRDefault="00127AD5" w:rsidP="009A6CA3"/>
        </w:tc>
      </w:tr>
    </w:tbl>
    <w:p w:rsidR="008C63DE" w:rsidRDefault="008C63DE" w:rsidP="008C63DE">
      <w:pPr>
        <w:pStyle w:val="Default"/>
      </w:pPr>
    </w:p>
    <w:p w:rsidR="00D55DA7" w:rsidRPr="008C63DE" w:rsidRDefault="008C63DE" w:rsidP="008C63DE">
      <w:r>
        <w:rPr>
          <w:sz w:val="20"/>
          <w:szCs w:val="20"/>
        </w:rPr>
        <w:t xml:space="preserve">Source: Adapted from Dziegielewski and Kiefer (2010) </w:t>
      </w:r>
      <w:r>
        <w:rPr>
          <w:i/>
          <w:iCs/>
          <w:sz w:val="20"/>
          <w:szCs w:val="20"/>
        </w:rPr>
        <w:t>The American Water Works Association Water Conservation Division Subcommittee Water Conservation Measurement Metrics Guidance Report.</w:t>
      </w:r>
    </w:p>
    <w:p w:rsidR="008C63DE" w:rsidRPr="008C63DE" w:rsidRDefault="008C63DE" w:rsidP="008C63DE">
      <w:pPr>
        <w:pStyle w:val="Default"/>
        <w:rPr>
          <w:rFonts w:asciiTheme="minorHAnsi" w:hAnsiTheme="minorHAnsi"/>
          <w:sz w:val="22"/>
          <w:szCs w:val="22"/>
        </w:rPr>
      </w:pPr>
    </w:p>
    <w:p w:rsidR="00973663" w:rsidRPr="008C63DE" w:rsidRDefault="008C63DE" w:rsidP="008C63DE">
      <w:r w:rsidRPr="008C63DE">
        <w:t>Utility Full Cost Metrics for Benchmarking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5220"/>
        <w:gridCol w:w="1908"/>
      </w:tblGrid>
      <w:tr w:rsidR="00087399" w:rsidRPr="008C63DE" w:rsidTr="00C038F0">
        <w:tc>
          <w:tcPr>
            <w:tcW w:w="2448" w:type="dxa"/>
          </w:tcPr>
          <w:p w:rsidR="00087399" w:rsidRPr="008C63DE" w:rsidRDefault="00087399" w:rsidP="00087399">
            <w:pPr>
              <w:jc w:val="center"/>
              <w:rPr>
                <w:b/>
              </w:rPr>
            </w:pPr>
            <w:r w:rsidRPr="008C63DE">
              <w:rPr>
                <w:b/>
              </w:rPr>
              <w:t>Description of Metric</w:t>
            </w:r>
          </w:p>
        </w:tc>
        <w:tc>
          <w:tcPr>
            <w:tcW w:w="5220" w:type="dxa"/>
          </w:tcPr>
          <w:p w:rsidR="00087399" w:rsidRPr="008C63DE" w:rsidRDefault="00087399" w:rsidP="00087399">
            <w:pPr>
              <w:jc w:val="center"/>
              <w:rPr>
                <w:b/>
              </w:rPr>
            </w:pPr>
            <w:r w:rsidRPr="008C63DE">
              <w:rPr>
                <w:b/>
              </w:rPr>
              <w:t>Calculation</w:t>
            </w:r>
          </w:p>
        </w:tc>
        <w:tc>
          <w:tcPr>
            <w:tcW w:w="1908" w:type="dxa"/>
          </w:tcPr>
          <w:p w:rsidR="00087399" w:rsidRPr="008C63DE" w:rsidRDefault="00087399" w:rsidP="00087399">
            <w:pPr>
              <w:jc w:val="center"/>
              <w:rPr>
                <w:b/>
              </w:rPr>
            </w:pPr>
            <w:r w:rsidRPr="008C63DE">
              <w:rPr>
                <w:b/>
              </w:rPr>
              <w:t>Benchmark</w:t>
            </w:r>
          </w:p>
        </w:tc>
      </w:tr>
      <w:tr w:rsidR="00087399" w:rsidRPr="008C63DE" w:rsidTr="00C038F0">
        <w:tc>
          <w:tcPr>
            <w:tcW w:w="2448" w:type="dxa"/>
          </w:tcPr>
          <w:p w:rsidR="00087399" w:rsidRPr="008C63DE" w:rsidRDefault="00087399" w:rsidP="00087399"/>
          <w:p w:rsidR="00087399" w:rsidRPr="008C63DE" w:rsidRDefault="00087399" w:rsidP="00087399">
            <w:r w:rsidRPr="008C63DE">
              <w:t>Operating Ratio</w:t>
            </w:r>
          </w:p>
          <w:p w:rsidR="00087399" w:rsidRPr="008C63DE" w:rsidRDefault="00087399" w:rsidP="00087399"/>
        </w:tc>
        <w:tc>
          <w:tcPr>
            <w:tcW w:w="5220" w:type="dxa"/>
          </w:tcPr>
          <w:p w:rsidR="00087399" w:rsidRPr="008C63DE" w:rsidRDefault="00087399" w:rsidP="00087399"/>
          <w:p w:rsidR="00087399" w:rsidRPr="008C63DE" w:rsidRDefault="00C97ED8" w:rsidP="0008739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Operating Revenues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Operating Expenses</m:t>
                    </m:r>
                  </m:den>
                </m:f>
              </m:oMath>
            </m:oMathPara>
          </w:p>
          <w:p w:rsidR="008A38C5" w:rsidRPr="008C63DE" w:rsidRDefault="008A38C5" w:rsidP="00087399"/>
        </w:tc>
        <w:tc>
          <w:tcPr>
            <w:tcW w:w="1908" w:type="dxa"/>
          </w:tcPr>
          <w:p w:rsidR="00087399" w:rsidRPr="008C63DE" w:rsidRDefault="00087399" w:rsidP="00C038F0">
            <w:pPr>
              <w:jc w:val="right"/>
            </w:pPr>
          </w:p>
          <w:p w:rsidR="00087399" w:rsidRPr="008C63DE" w:rsidRDefault="00087399" w:rsidP="00C038F0">
            <w:pPr>
              <w:jc w:val="right"/>
            </w:pPr>
            <w:r w:rsidRPr="008C63DE">
              <w:t>1.0</w:t>
            </w:r>
          </w:p>
        </w:tc>
      </w:tr>
      <w:tr w:rsidR="00087399" w:rsidRPr="008C63DE" w:rsidTr="00C038F0">
        <w:tc>
          <w:tcPr>
            <w:tcW w:w="2448" w:type="dxa"/>
          </w:tcPr>
          <w:p w:rsidR="00087399" w:rsidRPr="008C63DE" w:rsidRDefault="00087399" w:rsidP="00087399"/>
          <w:p w:rsidR="00087399" w:rsidRPr="008C63DE" w:rsidRDefault="00087399" w:rsidP="00087399">
            <w:r w:rsidRPr="008C63DE">
              <w:t>Debt Service Coverage Ratio</w:t>
            </w:r>
          </w:p>
        </w:tc>
        <w:tc>
          <w:tcPr>
            <w:tcW w:w="5220" w:type="dxa"/>
          </w:tcPr>
          <w:p w:rsidR="00087399" w:rsidRPr="008C63DE" w:rsidRDefault="00087399" w:rsidP="00087399"/>
          <w:p w:rsidR="00087399" w:rsidRPr="008C63DE" w:rsidRDefault="00C97ED8" w:rsidP="0008739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Operating Revenues-Operating Expenditures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Debt Service </m:t>
                    </m:r>
                  </m:den>
                </m:f>
              </m:oMath>
            </m:oMathPara>
          </w:p>
          <w:p w:rsidR="00087399" w:rsidRPr="008C63DE" w:rsidRDefault="00087399" w:rsidP="00087399"/>
        </w:tc>
        <w:tc>
          <w:tcPr>
            <w:tcW w:w="1908" w:type="dxa"/>
          </w:tcPr>
          <w:p w:rsidR="00087399" w:rsidRPr="008C63DE" w:rsidRDefault="00087399" w:rsidP="00C038F0">
            <w:pPr>
              <w:jc w:val="right"/>
            </w:pPr>
            <w:r w:rsidRPr="008C63DE">
              <w:t>1.0</w:t>
            </w:r>
          </w:p>
        </w:tc>
      </w:tr>
      <w:tr w:rsidR="00087399" w:rsidRPr="008C63DE" w:rsidTr="00C038F0">
        <w:tc>
          <w:tcPr>
            <w:tcW w:w="2448" w:type="dxa"/>
          </w:tcPr>
          <w:p w:rsidR="00087399" w:rsidRPr="008C63DE" w:rsidRDefault="00087399" w:rsidP="00087399"/>
          <w:p w:rsidR="00087399" w:rsidRPr="008C63DE" w:rsidRDefault="00087399" w:rsidP="00087399">
            <w:r w:rsidRPr="008C63DE">
              <w:t>Active Debt per  Customer</w:t>
            </w:r>
          </w:p>
          <w:p w:rsidR="00087399" w:rsidRPr="008C63DE" w:rsidRDefault="00087399" w:rsidP="00087399"/>
        </w:tc>
        <w:tc>
          <w:tcPr>
            <w:tcW w:w="5220" w:type="dxa"/>
          </w:tcPr>
          <w:p w:rsidR="00087399" w:rsidRPr="008C63DE" w:rsidRDefault="00087399" w:rsidP="00087399"/>
          <w:p w:rsidR="00087399" w:rsidRPr="008C63DE" w:rsidRDefault="00C97ED8" w:rsidP="0008739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Total Active Debt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Number of Customers</m:t>
                    </m:r>
                  </m:den>
                </m:f>
              </m:oMath>
            </m:oMathPara>
          </w:p>
          <w:p w:rsidR="00087399" w:rsidRPr="008C63DE" w:rsidRDefault="00087399" w:rsidP="00087399"/>
        </w:tc>
        <w:tc>
          <w:tcPr>
            <w:tcW w:w="1908" w:type="dxa"/>
          </w:tcPr>
          <w:p w:rsidR="00087399" w:rsidRPr="008C63DE" w:rsidRDefault="00087399" w:rsidP="00C038F0">
            <w:pPr>
              <w:jc w:val="right"/>
            </w:pPr>
            <w:r w:rsidRPr="008C63DE">
              <w:t>Average</w:t>
            </w:r>
          </w:p>
        </w:tc>
      </w:tr>
      <w:tr w:rsidR="00087399" w:rsidRPr="008C63DE" w:rsidTr="00C038F0">
        <w:tc>
          <w:tcPr>
            <w:tcW w:w="2448" w:type="dxa"/>
          </w:tcPr>
          <w:p w:rsidR="00087399" w:rsidRPr="008C63DE" w:rsidRDefault="00087399" w:rsidP="00087399">
            <w:r w:rsidRPr="008C63DE">
              <w:t>Percent of Annual Operating  Expenditures in  Cash Reserves</w:t>
            </w:r>
          </w:p>
        </w:tc>
        <w:tc>
          <w:tcPr>
            <w:tcW w:w="5220" w:type="dxa"/>
          </w:tcPr>
          <w:p w:rsidR="00087399" w:rsidRPr="008C63DE" w:rsidRDefault="00087399" w:rsidP="00087399"/>
          <w:p w:rsidR="00087399" w:rsidRPr="008C63DE" w:rsidRDefault="00C97ED8" w:rsidP="0008739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Cash Reserves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Annual Operating Expenditures</m:t>
                    </m:r>
                  </m:den>
                </m:f>
              </m:oMath>
            </m:oMathPara>
          </w:p>
        </w:tc>
        <w:tc>
          <w:tcPr>
            <w:tcW w:w="1908" w:type="dxa"/>
          </w:tcPr>
          <w:p w:rsidR="00087399" w:rsidRPr="008C63DE" w:rsidRDefault="00087399" w:rsidP="00C038F0">
            <w:pPr>
              <w:jc w:val="right"/>
            </w:pPr>
          </w:p>
          <w:p w:rsidR="00087399" w:rsidRPr="008C63DE" w:rsidRDefault="00087399" w:rsidP="00C038F0">
            <w:pPr>
              <w:jc w:val="right"/>
            </w:pPr>
          </w:p>
          <w:p w:rsidR="007D2CE6" w:rsidRPr="008C63DE" w:rsidRDefault="007D2CE6" w:rsidP="00C038F0">
            <w:pPr>
              <w:jc w:val="right"/>
            </w:pPr>
            <w:r w:rsidRPr="008C63DE">
              <w:t>One month</w:t>
            </w:r>
          </w:p>
        </w:tc>
      </w:tr>
    </w:tbl>
    <w:p w:rsidR="008C63DE" w:rsidRDefault="008C63DE" w:rsidP="008C63DE">
      <w:pPr>
        <w:pStyle w:val="Default"/>
      </w:pPr>
    </w:p>
    <w:p w:rsidR="00973663" w:rsidRPr="008C63DE" w:rsidRDefault="008C63DE" w:rsidP="008C63DE">
      <w:r>
        <w:rPr>
          <w:sz w:val="20"/>
          <w:szCs w:val="20"/>
        </w:rPr>
        <w:t xml:space="preserve">Source: Adapted from UNC School of Government Environment Finance Center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State of Full Cost Pricing: Full Cost Pricing Among Public Water &amp; Sewer Utilities in the Southeast </w:t>
      </w:r>
      <w:r>
        <w:rPr>
          <w:sz w:val="20"/>
          <w:szCs w:val="20"/>
        </w:rPr>
        <w:t>2008</w:t>
      </w:r>
      <w:bookmarkStart w:id="0" w:name="_GoBack"/>
      <w:bookmarkEnd w:id="0"/>
    </w:p>
    <w:p w:rsidR="00973663" w:rsidRPr="008C63DE" w:rsidRDefault="00973663"/>
    <w:sectPr w:rsidR="00973663" w:rsidRPr="008C63DE" w:rsidSect="00D55D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DE" w:rsidRDefault="008C63DE" w:rsidP="008C63DE">
      <w:pPr>
        <w:spacing w:after="0" w:line="240" w:lineRule="auto"/>
      </w:pPr>
      <w:r>
        <w:separator/>
      </w:r>
    </w:p>
  </w:endnote>
  <w:endnote w:type="continuationSeparator" w:id="0">
    <w:p w:rsidR="008C63DE" w:rsidRDefault="008C63DE" w:rsidP="008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DE" w:rsidRDefault="008C63DE" w:rsidP="008C63DE">
      <w:pPr>
        <w:spacing w:after="0" w:line="240" w:lineRule="auto"/>
      </w:pPr>
      <w:r>
        <w:separator/>
      </w:r>
    </w:p>
  </w:footnote>
  <w:footnote w:type="continuationSeparator" w:id="0">
    <w:p w:rsidR="008C63DE" w:rsidRDefault="008C63DE" w:rsidP="008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DE" w:rsidRPr="008C63DE" w:rsidRDefault="008C63DE" w:rsidP="008C63DE">
    <w:pPr>
      <w:pStyle w:val="Default"/>
      <w:rPr>
        <w:rFonts w:ascii="Times New Roman" w:hAnsi="Times New Roman" w:cs="Times New Roman"/>
        <w:sz w:val="22"/>
        <w:szCs w:val="22"/>
      </w:rPr>
    </w:pPr>
  </w:p>
  <w:p w:rsidR="008C63DE" w:rsidRPr="008C63DE" w:rsidRDefault="008C63DE" w:rsidP="008C63D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:rsidR="008C63DE" w:rsidRPr="008C63DE" w:rsidRDefault="008C63DE" w:rsidP="008C63DE">
    <w:pPr>
      <w:pStyle w:val="Header"/>
    </w:pPr>
    <w:r w:rsidRPr="008C63DE">
      <w:rPr>
        <w:rFonts w:ascii="Times New Roman" w:hAnsi="Times New Roman" w:cs="Times New Roman"/>
      </w:rPr>
      <w:t xml:space="preserve"> NE IL Community Water Conservation: Establishing Goals &amp; Benchmarks</w:t>
    </w:r>
    <w:r>
      <w:rPr>
        <w:rFonts w:ascii="Times New Roman" w:hAnsi="Times New Roman" w:cs="Times New Roman"/>
      </w:rPr>
      <w:tab/>
      <w:t>Schneemann</w:t>
    </w:r>
  </w:p>
  <w:p w:rsidR="008C63DE" w:rsidRDefault="008C6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6E2A"/>
    <w:multiLevelType w:val="hybridMultilevel"/>
    <w:tmpl w:val="5A2A80EA"/>
    <w:lvl w:ilvl="0" w:tplc="296C7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82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0A2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E3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CE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A1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CA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85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85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7D0"/>
    <w:rsid w:val="00087399"/>
    <w:rsid w:val="001034AC"/>
    <w:rsid w:val="00127AD5"/>
    <w:rsid w:val="0014700A"/>
    <w:rsid w:val="0019370E"/>
    <w:rsid w:val="00197AA7"/>
    <w:rsid w:val="001C7842"/>
    <w:rsid w:val="0050385F"/>
    <w:rsid w:val="005652A1"/>
    <w:rsid w:val="007B17D0"/>
    <w:rsid w:val="007D2CE6"/>
    <w:rsid w:val="008A38C5"/>
    <w:rsid w:val="008C63DE"/>
    <w:rsid w:val="00973663"/>
    <w:rsid w:val="009A6CA3"/>
    <w:rsid w:val="00B86F13"/>
    <w:rsid w:val="00BD35D1"/>
    <w:rsid w:val="00C038F0"/>
    <w:rsid w:val="00C97ED8"/>
    <w:rsid w:val="00D55DA7"/>
    <w:rsid w:val="00D570F2"/>
    <w:rsid w:val="00E266F0"/>
    <w:rsid w:val="00E706C7"/>
    <w:rsid w:val="00F35D9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3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DE"/>
  </w:style>
  <w:style w:type="paragraph" w:styleId="Footer">
    <w:name w:val="footer"/>
    <w:basedOn w:val="Normal"/>
    <w:link w:val="FooterChar"/>
    <w:uiPriority w:val="99"/>
    <w:unhideWhenUsed/>
    <w:rsid w:val="008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3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DE"/>
  </w:style>
  <w:style w:type="paragraph" w:styleId="Footer">
    <w:name w:val="footer"/>
    <w:basedOn w:val="Normal"/>
    <w:link w:val="FooterChar"/>
    <w:uiPriority w:val="99"/>
    <w:unhideWhenUsed/>
    <w:rsid w:val="008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8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6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Mschneemann</dc:creator>
  <cp:lastModifiedBy>rodriguez</cp:lastModifiedBy>
  <cp:revision>2</cp:revision>
  <cp:lastPrinted>2010-03-31T21:54:00Z</cp:lastPrinted>
  <dcterms:created xsi:type="dcterms:W3CDTF">2013-08-13T13:24:00Z</dcterms:created>
  <dcterms:modified xsi:type="dcterms:W3CDTF">2013-08-13T13:24:00Z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ABAAVOAfoSrQoyw7a2A3rvQc3hSCJDxJiCZzaZyVDKlf+TAj1qPFBJF3yaVlB23ES9Rt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sAAAUYtyAkeNWR7IN04jUlEiflByDgAT9d9g3sqn/rdqBD8=</vt:lpwstr>
  </property>
</Properties>
</file>